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Lines/>
        <w:tabs>
          <w:tab w:val="right" w:pos="10440"/>
          <w:tab w:val="right" w:pos="13323"/>
        </w:tabs>
        <w:spacing w:before="60" w:after="60"/>
        <w:ind w:left="482" w:hanging="482"/>
        <w:outlineLvl w:val="0"/>
        <w:rPr>
          <w:rFonts w:hint="default" w:eastAsia="宋体" w:cs="Arial"/>
          <w:b w:val="0"/>
          <w:sz w:val="24"/>
          <w:lang w:val="en-US" w:eastAsia="zh-CN"/>
        </w:rPr>
      </w:pPr>
      <w:bookmarkStart w:id="0" w:name="Title"/>
      <w:bookmarkEnd w:id="0"/>
      <w:bookmarkStart w:id="1" w:name="DocumentFor"/>
      <w:bookmarkEnd w:id="1"/>
      <w:r>
        <w:rPr>
          <w:rFonts w:cs="Arial"/>
          <w:sz w:val="24"/>
        </w:rPr>
        <w:t>3GPP TSG-RAN WG4 Meeting #</w:t>
      </w:r>
      <w:r>
        <w:rPr>
          <w:rFonts w:cs="Arial"/>
        </w:rPr>
        <w:t xml:space="preserve"> </w:t>
      </w:r>
      <w:r>
        <w:rPr>
          <w:rFonts w:cs="Arial"/>
          <w:sz w:val="24"/>
        </w:rPr>
        <w:t>10</w:t>
      </w:r>
      <w:r>
        <w:rPr>
          <w:rFonts w:hint="eastAsia" w:eastAsia="宋体" w:cs="Arial"/>
          <w:sz w:val="24"/>
          <w:lang w:val="en-US" w:eastAsia="zh-CN"/>
        </w:rPr>
        <w:t>6</w:t>
      </w:r>
      <w:r>
        <w:rPr>
          <w:rFonts w:cs="Arial"/>
          <w:sz w:val="24"/>
        </w:rPr>
        <w:tab/>
      </w:r>
      <w:r>
        <w:rPr>
          <w:rFonts w:cs="Arial"/>
          <w:sz w:val="24"/>
        </w:rPr>
        <w:tab/>
      </w:r>
      <w:r>
        <w:rPr>
          <w:rFonts w:hint="eastAsia" w:eastAsia="宋体" w:cs="Arial"/>
          <w:sz w:val="24"/>
          <w:lang w:val="en-US" w:eastAsia="zh-CN"/>
        </w:rPr>
        <w:t xml:space="preserve">  </w:t>
      </w:r>
      <w:r>
        <w:rPr>
          <w:rFonts w:hint="eastAsia" w:cs="Arial"/>
          <w:sz w:val="24"/>
        </w:rPr>
        <w:t>R4-2</w:t>
      </w:r>
      <w:r>
        <w:rPr>
          <w:rFonts w:hint="eastAsia" w:eastAsia="宋体" w:cs="Arial"/>
          <w:sz w:val="24"/>
          <w:lang w:val="en-US" w:eastAsia="zh-CN"/>
        </w:rPr>
        <w:t>301228</w:t>
      </w:r>
    </w:p>
    <w:p>
      <w:pPr>
        <w:pStyle w:val="15"/>
        <w:tabs>
          <w:tab w:val="right" w:pos="9781"/>
          <w:tab w:val="right" w:pos="13323"/>
        </w:tabs>
        <w:spacing w:before="60" w:after="60"/>
        <w:ind w:left="482" w:hanging="482"/>
        <w:outlineLvl w:val="0"/>
        <w:rPr>
          <w:rFonts w:hint="default" w:eastAsia="宋体" w:cs="Arial"/>
          <w:b w:val="0"/>
          <w:sz w:val="24"/>
          <w:lang w:val="en-US" w:eastAsia="zh-CN"/>
        </w:rPr>
      </w:pPr>
      <w:r>
        <w:rPr>
          <w:rFonts w:hint="eastAsia" w:eastAsia="宋体" w:cs="Arial"/>
          <w:sz w:val="24"/>
          <w:lang w:val="en-US" w:eastAsia="zh-CN"/>
        </w:rPr>
        <w:t>Athens</w:t>
      </w:r>
      <w:r>
        <w:rPr>
          <w:rFonts w:hint="eastAsia" w:eastAsia="宋体" w:cs="Arial"/>
          <w:sz w:val="24"/>
          <w:lang w:eastAsia="zh-CN"/>
        </w:rPr>
        <w:t xml:space="preserve">, </w:t>
      </w:r>
      <w:r>
        <w:rPr>
          <w:rFonts w:hint="eastAsia" w:eastAsia="宋体" w:cs="Arial"/>
          <w:sz w:val="24"/>
          <w:lang w:val="en-US" w:eastAsia="zh-CN"/>
        </w:rPr>
        <w:t>Greece</w:t>
      </w:r>
      <w:r>
        <w:rPr>
          <w:rFonts w:hint="eastAsia" w:eastAsia="宋体" w:cs="Arial"/>
          <w:sz w:val="24"/>
          <w:lang w:eastAsia="zh-CN"/>
        </w:rPr>
        <w:t xml:space="preserve">, </w:t>
      </w:r>
      <w:r>
        <w:rPr>
          <w:rFonts w:hint="eastAsia" w:eastAsia="宋体" w:cs="Arial"/>
          <w:sz w:val="24"/>
          <w:lang w:val="en-US" w:eastAsia="zh-CN"/>
        </w:rPr>
        <w:t>Feb</w:t>
      </w:r>
      <w:r>
        <w:rPr>
          <w:rFonts w:hint="eastAsia" w:eastAsia="宋体" w:cs="Arial"/>
          <w:sz w:val="24"/>
          <w:lang w:eastAsia="zh-CN"/>
        </w:rPr>
        <w:t xml:space="preserve">. </w:t>
      </w:r>
      <w:r>
        <w:rPr>
          <w:rFonts w:hint="eastAsia" w:eastAsia="宋体" w:cs="Arial"/>
          <w:sz w:val="24"/>
          <w:lang w:val="en-US" w:eastAsia="zh-CN"/>
        </w:rPr>
        <w:t>27</w:t>
      </w:r>
      <w:r>
        <w:rPr>
          <w:rFonts w:hint="eastAsia" w:eastAsia="宋体" w:cs="Arial"/>
          <w:sz w:val="24"/>
          <w:lang w:eastAsia="zh-CN"/>
        </w:rPr>
        <w:t>-</w:t>
      </w:r>
      <w:r>
        <w:rPr>
          <w:rFonts w:hint="eastAsia" w:eastAsia="宋体" w:cs="Arial"/>
          <w:sz w:val="24"/>
          <w:lang w:val="en-US" w:eastAsia="zh-CN"/>
        </w:rPr>
        <w:t>Mar</w:t>
      </w:r>
      <w:r>
        <w:rPr>
          <w:rFonts w:hint="eastAsia" w:eastAsia="宋体" w:cs="Arial"/>
          <w:sz w:val="24"/>
          <w:lang w:eastAsia="zh-CN"/>
        </w:rPr>
        <w:t xml:space="preserve">. </w:t>
      </w:r>
      <w:r>
        <w:rPr>
          <w:rFonts w:hint="eastAsia" w:eastAsia="宋体" w:cs="Arial"/>
          <w:sz w:val="24"/>
          <w:lang w:val="en-US" w:eastAsia="zh-CN"/>
        </w:rPr>
        <w:t>03</w:t>
      </w:r>
      <w:r>
        <w:rPr>
          <w:rFonts w:hint="eastAsia" w:eastAsia="宋体" w:cs="Arial"/>
          <w:sz w:val="24"/>
          <w:lang w:eastAsia="zh-CN"/>
        </w:rPr>
        <w:t>, 202</w:t>
      </w:r>
      <w:r>
        <w:rPr>
          <w:rFonts w:hint="eastAsia" w:eastAsia="宋体" w:cs="Arial"/>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outlineLvl w:val="0"/>
        <w:rPr>
          <w:rFonts w:eastAsia="宋体"/>
          <w:sz w:val="24"/>
          <w:lang w:val="en-US" w:eastAsia="zh-CN"/>
        </w:rPr>
      </w:pPr>
      <w:r>
        <w:rPr>
          <w:sz w:val="24"/>
        </w:rPr>
        <w:t>Source:</w:t>
      </w:r>
      <w:r>
        <w:rPr>
          <w:sz w:val="24"/>
        </w:rPr>
        <w:tab/>
      </w:r>
      <w:r>
        <w:rPr>
          <w:rFonts w:eastAsia="宋体"/>
          <w:sz w:val="24"/>
          <w:lang w:val="en-US" w:eastAsia="zh-CN"/>
        </w:rPr>
        <w:t>ZTE Corporation</w:t>
      </w:r>
    </w:p>
    <w:p>
      <w:pPr>
        <w:pStyle w:val="15"/>
        <w:tabs>
          <w:tab w:val="left" w:pos="1800"/>
          <w:tab w:val="right" w:pos="9298"/>
          <w:tab w:val="clear" w:pos="4536"/>
          <w:tab w:val="clear" w:pos="9072"/>
        </w:tabs>
        <w:spacing w:after="60"/>
        <w:ind w:left="1807" w:hanging="1801" w:hangingChars="750"/>
        <w:outlineLvl w:val="0"/>
        <w:rPr>
          <w:rFonts w:hint="default" w:eastAsia="宋体"/>
          <w:sz w:val="24"/>
          <w:lang w:val="en-US" w:eastAsia="zh-CN"/>
        </w:rPr>
      </w:pPr>
      <w:r>
        <w:rPr>
          <w:sz w:val="24"/>
        </w:rPr>
        <w:t>Title:</w:t>
      </w:r>
      <w:r>
        <w:rPr>
          <w:sz w:val="24"/>
        </w:rPr>
        <w:tab/>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iscussion on</w:t>
      </w:r>
      <w:r>
        <w:rPr>
          <w:rFonts w:hint="eastAsia" w:ascii="Arial" w:hAnsi="Arial" w:cs="Arial"/>
          <w:b/>
          <w:sz w:val="24"/>
          <w:szCs w:val="24"/>
          <w:highlight w:val="none"/>
          <w:lang w:val="en-US" w:eastAsia="zh-CN"/>
        </w:rPr>
        <w:t xml:space="preserve"> band definition for LTE based broadcast</w:t>
      </w:r>
    </w:p>
    <w:p>
      <w:pPr>
        <w:pStyle w:val="15"/>
        <w:tabs>
          <w:tab w:val="left" w:pos="1800"/>
          <w:tab w:val="left" w:pos="3825"/>
          <w:tab w:val="clear" w:pos="4536"/>
          <w:tab w:val="clear" w:pos="9072"/>
        </w:tabs>
        <w:spacing w:after="60"/>
        <w:jc w:val="both"/>
        <w:outlineLvl w:val="0"/>
        <w:rPr>
          <w:rFonts w:hint="default" w:eastAsia="宋体"/>
          <w:sz w:val="24"/>
          <w:lang w:val="en-US" w:eastAsia="zh-CN"/>
        </w:rPr>
      </w:pPr>
      <w:r>
        <w:rPr>
          <w:sz w:val="24"/>
        </w:rPr>
        <w:t>Agenda Item:</w:t>
      </w:r>
      <w:r>
        <w:rPr>
          <w:sz w:val="24"/>
        </w:rPr>
        <w:tab/>
      </w:r>
      <w:r>
        <w:rPr>
          <w:rFonts w:hint="eastAsia" w:eastAsia="宋体"/>
          <w:sz w:val="24"/>
          <w:lang w:val="en-US" w:eastAsia="zh-CN"/>
        </w:rPr>
        <w:t>10.3.2</w:t>
      </w:r>
    </w:p>
    <w:p>
      <w:pPr>
        <w:pStyle w:val="15"/>
        <w:tabs>
          <w:tab w:val="left" w:pos="1800"/>
        </w:tabs>
        <w:snapToGrid w:val="0"/>
        <w:spacing w:after="240"/>
        <w:jc w:val="both"/>
        <w:outlineLvl w:val="0"/>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eastAsia" w:eastAsia="宋体"/>
          <w:sz w:val="21"/>
          <w:szCs w:val="21"/>
          <w:lang w:val="en-US" w:eastAsia="zh-CN"/>
        </w:rPr>
      </w:pPr>
      <w:r>
        <w:rPr>
          <w:rFonts w:eastAsia="宋体"/>
          <w:lang w:eastAsia="zh-CN"/>
        </w:rPr>
        <w:t>Introduction</w:t>
      </w:r>
    </w:p>
    <w:p>
      <w:pPr>
        <w:autoSpaceDE/>
        <w:autoSpaceDN/>
        <w:adjustRightInd/>
        <w:snapToGrid/>
        <w:spacing w:before="0" w:beforeLines="-2147483648" w:after="0" w:afterLines="-2147483648" w:line="240" w:lineRule="auto"/>
        <w:jc w:val="both"/>
        <w:rPr>
          <w:rFonts w:hint="eastAsia"/>
          <w:sz w:val="20"/>
          <w:highlight w:val="none"/>
          <w:lang w:val="en-US" w:eastAsia="zh-CN"/>
        </w:rPr>
      </w:pPr>
      <w:r>
        <w:rPr>
          <w:rFonts w:hint="eastAsia"/>
          <w:sz w:val="20"/>
          <w:highlight w:val="none"/>
          <w:lang w:val="en-US" w:eastAsia="zh-CN"/>
        </w:rPr>
        <w:t>In RAN#95e meeting, the approved work item [1] includes the objective to specify band(s), within the portion of UHF spectrum allocated to broadcast systems (~470 - ~694/698 MHz, depending on the region), that support the channelization available to broadcasting operators. During the last RAN4 meeting, there were some open issues left for further discussion in [2]. In this contribution, we want to share some further views on band definition for LTE based broadcast.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eastAsia"/>
          <w:lang w:val="en-US" w:eastAsia="zh-CN"/>
        </w:rPr>
      </w:pPr>
      <w:r>
        <w:rPr>
          <w:rFonts w:hint="eastAsia" w:eastAsia="宋体"/>
          <w:lang w:eastAsia="zh-CN"/>
        </w:rPr>
        <w:t>Discussion</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sz w:val="20"/>
          <w:szCs w:val="20"/>
          <w:lang w:val="en-US" w:eastAsia="zh-CN"/>
        </w:rPr>
        <w:t>In the last RAN4 meeting, there are two options for band plan given in way forward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rPr>
                <w:sz w:val="28"/>
                <w:szCs w:val="28"/>
                <w:lang w:eastAsia="zh-CN"/>
              </w:rPr>
            </w:pPr>
            <w:r>
              <w:rPr>
                <w:sz w:val="28"/>
                <w:szCs w:val="28"/>
              </w:rPr>
              <w:t>Band plan</w:t>
            </w:r>
          </w:p>
          <w:p>
            <w:pPr>
              <w:rPr>
                <w:iCs/>
              </w:rPr>
            </w:pPr>
            <w:r>
              <w:rPr>
                <w:iCs/>
              </w:rPr>
              <w:t>Two options (not mutually exclusive)</w:t>
            </w:r>
          </w:p>
          <w:p>
            <w:pPr>
              <w:pStyle w:val="28"/>
              <w:numPr>
                <w:ilvl w:val="0"/>
                <w:numId w:val="4"/>
              </w:numPr>
              <w:overflowPunct w:val="0"/>
              <w:autoSpaceDE w:val="0"/>
              <w:autoSpaceDN w:val="0"/>
              <w:adjustRightInd w:val="0"/>
              <w:ind w:firstLineChars="0"/>
              <w:textAlignment w:val="baseline"/>
              <w:rPr>
                <w:iCs/>
              </w:rPr>
            </w:pPr>
            <w:r>
              <w:rPr>
                <w:iCs/>
              </w:rPr>
              <w:t>Define a single band covering the entire UHF frequency range 470 – [698/702] MHz</w:t>
            </w:r>
          </w:p>
          <w:p>
            <w:pPr>
              <w:pStyle w:val="28"/>
              <w:numPr>
                <w:ilvl w:val="0"/>
                <w:numId w:val="5"/>
              </w:numPr>
              <w:overflowPunct w:val="0"/>
              <w:autoSpaceDE w:val="0"/>
              <w:autoSpaceDN w:val="0"/>
              <w:adjustRightInd w:val="0"/>
              <w:ind w:firstLineChars="0"/>
              <w:textAlignment w:val="baseline"/>
              <w:rPr>
                <w:iCs/>
              </w:rPr>
            </w:pPr>
            <w:r>
              <w:rPr>
                <w:iCs/>
              </w:rPr>
              <w:t>The requirements are relaxed for this band (TBD which requirements and how much) and/or</w:t>
            </w:r>
          </w:p>
          <w:p>
            <w:pPr>
              <w:pStyle w:val="28"/>
              <w:numPr>
                <w:ilvl w:val="0"/>
                <w:numId w:val="5"/>
              </w:numPr>
              <w:overflowPunct w:val="0"/>
              <w:autoSpaceDE w:val="0"/>
              <w:autoSpaceDN w:val="0"/>
              <w:adjustRightInd w:val="0"/>
              <w:ind w:firstLineChars="0"/>
              <w:textAlignment w:val="baseline"/>
              <w:rPr>
                <w:iCs/>
              </w:rPr>
            </w:pPr>
            <w:r>
              <w:rPr>
                <w:iCs/>
              </w:rPr>
              <w:t>This band is assumed to be implemented with more than one filter in the UE (TBD how many filters and the characteristics of those filters)</w:t>
            </w:r>
          </w:p>
          <w:p>
            <w:pPr>
              <w:pStyle w:val="28"/>
              <w:numPr>
                <w:ilvl w:val="0"/>
                <w:numId w:val="4"/>
              </w:numPr>
              <w:overflowPunct w:val="0"/>
              <w:autoSpaceDE w:val="0"/>
              <w:autoSpaceDN w:val="0"/>
              <w:adjustRightInd w:val="0"/>
              <w:ind w:firstLineChars="0"/>
              <w:textAlignment w:val="baseline"/>
              <w:rPr>
                <w:iCs/>
              </w:rPr>
            </w:pPr>
            <w:r>
              <w:rPr>
                <w:iCs/>
              </w:rPr>
              <w:t xml:space="preserve">Define smaller bands </w:t>
            </w:r>
          </w:p>
          <w:p>
            <w:pPr>
              <w:pStyle w:val="28"/>
              <w:numPr>
                <w:ilvl w:val="0"/>
                <w:numId w:val="6"/>
              </w:numPr>
              <w:overflowPunct w:val="0"/>
              <w:autoSpaceDE w:val="0"/>
              <w:autoSpaceDN w:val="0"/>
              <w:adjustRightInd w:val="0"/>
              <w:ind w:firstLineChars="0"/>
              <w:textAlignment w:val="baseline"/>
              <w:rPr>
                <w:iCs/>
              </w:rPr>
            </w:pPr>
            <w:r>
              <w:rPr>
                <w:iCs/>
              </w:rPr>
              <w:t>At least one of the bands overlaps with Band n105 DL to reuse n105 Rx filter</w:t>
            </w:r>
          </w:p>
          <w:p>
            <w:pPr>
              <w:pStyle w:val="28"/>
              <w:numPr>
                <w:ilvl w:val="0"/>
                <w:numId w:val="6"/>
              </w:numPr>
              <w:overflowPunct w:val="0"/>
              <w:autoSpaceDE w:val="0"/>
              <w:autoSpaceDN w:val="0"/>
              <w:adjustRightInd w:val="0"/>
              <w:ind w:firstLineChars="0"/>
              <w:textAlignment w:val="baseline"/>
              <w:rPr>
                <w:iCs/>
              </w:rPr>
            </w:pPr>
            <w:r>
              <w:t>Specify the following bands 470-542 MHz, 540-606 MHz and 602-702 MHz.</w:t>
            </w:r>
          </w:p>
          <w:p>
            <w:pPr>
              <w:pStyle w:val="28"/>
              <w:numPr>
                <w:ilvl w:val="0"/>
                <w:numId w:val="6"/>
              </w:numPr>
              <w:overflowPunct w:val="0"/>
              <w:autoSpaceDE w:val="0"/>
              <w:autoSpaceDN w:val="0"/>
              <w:adjustRightInd w:val="0"/>
              <w:ind w:firstLineChars="0"/>
              <w:textAlignment w:val="baseline"/>
              <w:rPr>
                <w:iCs/>
              </w:rPr>
            </w:pPr>
            <w:r>
              <w:t xml:space="preserve">Other </w:t>
            </w:r>
          </w:p>
          <w:p>
            <w:pPr>
              <w:spacing w:after="120" w:afterLines="50"/>
              <w:rPr>
                <w:rFonts w:hint="default"/>
                <w:sz w:val="20"/>
                <w:szCs w:val="20"/>
                <w:vertAlign w:val="baseline"/>
                <w:lang w:val="en-US" w:eastAsia="zh-CN"/>
              </w:rPr>
            </w:pPr>
            <w:r>
              <w:rPr>
                <w:b/>
                <w:lang w:eastAsia="zh-CN"/>
              </w:rPr>
              <w:t>Way forward:  For RAN4 #106, companies are invited to provide proposals and supporting technical data including filter performance for the options listed above.</w:t>
            </w:r>
          </w:p>
        </w:tc>
      </w:tr>
    </w:tbl>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sz w:val="20"/>
          <w:szCs w:val="20"/>
          <w:lang w:val="en-US" w:eastAsia="zh-CN"/>
        </w:rPr>
        <w:t>For option 1, it is necessary to define a single wide band covering the entire UHF frequency range 470 – [698/702] MHz for LTE based 5G broadcast, and this is the most straight forward approach. Considering the usage of band n28 globally, the interference from band n28 should be considered. And the problem of this option is whether the UE duplex is sufficient to cover the whole band, which may could cause lots of implementation challenges. Besides,  the requirements e.g. refsens, ACS and blocking of DVB receiver are strict, which the current smartphone may be not meet. If this option is adopted, the performance assessment is necessary.</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sz w:val="20"/>
          <w:szCs w:val="20"/>
          <w:lang w:val="en-US" w:eastAsia="zh-CN"/>
        </w:rPr>
        <w:t>For option 2, whether to define multiple sub-bands depends on out of band blocking, and the premise is that define a single band covering the frequency range 470 – [698/702] MHz. But the existing design for n71/B71 could not be fully utilized which is too conservative and not good from the economic wise.</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default"/>
          <w:sz w:val="20"/>
          <w:szCs w:val="20"/>
          <w:lang w:val="en-US" w:eastAsia="zh-CN"/>
        </w:rPr>
      </w:pPr>
      <w:r>
        <w:rPr>
          <w:rFonts w:hint="eastAsia"/>
          <w:b/>
          <w:bCs/>
          <w:sz w:val="20"/>
          <w:szCs w:val="20"/>
          <w:lang w:val="en-US" w:eastAsia="zh-CN"/>
        </w:rPr>
        <w:t>Proposal 1:</w:t>
      </w:r>
      <w:r>
        <w:rPr>
          <w:rFonts w:hint="eastAsia"/>
          <w:sz w:val="20"/>
          <w:szCs w:val="20"/>
          <w:lang w:val="en-US" w:eastAsia="zh-CN"/>
        </w:rPr>
        <w:t xml:space="preserve"> I</w:t>
      </w:r>
      <w:bookmarkStart w:id="2" w:name="_GoBack"/>
      <w:bookmarkEnd w:id="2"/>
      <w:r>
        <w:rPr>
          <w:rFonts w:hint="eastAsia"/>
          <w:sz w:val="20"/>
          <w:szCs w:val="20"/>
          <w:lang w:val="en-US" w:eastAsia="zh-CN"/>
        </w:rPr>
        <w:t>t is necessary to define a single wide band covering the entire UHF frequency range 470 – [698/702] MHz for LTE based 5G broadcast.</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default"/>
          <w:sz w:val="20"/>
          <w:szCs w:val="20"/>
          <w:lang w:val="en-US" w:eastAsia="zh-CN"/>
        </w:rPr>
      </w:pPr>
      <w:r>
        <w:drawing>
          <wp:inline distT="0" distB="0" distL="114300" distR="114300">
            <wp:extent cx="6852285" cy="1664335"/>
            <wp:effectExtent l="0" t="0" r="571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852285" cy="1664335"/>
                    </a:xfrm>
                    <a:prstGeom prst="rect">
                      <a:avLst/>
                    </a:prstGeom>
                    <a:noFill/>
                    <a:ln>
                      <a:noFill/>
                    </a:ln>
                  </pic:spPr>
                </pic:pic>
              </a:graphicData>
            </a:graphic>
          </wp:inline>
        </w:drawing>
      </w:r>
    </w:p>
    <w:p>
      <w:pPr>
        <w:numPr>
          <w:ilvl w:val="0"/>
          <w:numId w:val="0"/>
        </w:numPr>
        <w:jc w:val="center"/>
        <w:rPr>
          <w:rFonts w:hint="eastAsia"/>
          <w:sz w:val="20"/>
          <w:highlight w:val="none"/>
          <w:lang w:val="en-US" w:eastAsia="zh-CN"/>
        </w:rPr>
      </w:pPr>
      <w:r>
        <w:rPr>
          <w:rFonts w:hint="eastAsia" w:eastAsia="宋体"/>
          <w:b/>
          <w:bCs/>
          <w:sz w:val="20"/>
          <w:szCs w:val="20"/>
          <w:lang w:val="en-US" w:eastAsia="zh-CN"/>
        </w:rPr>
        <w:t xml:space="preserve">Figure </w:t>
      </w:r>
      <w:r>
        <w:rPr>
          <w:rFonts w:hint="eastAsia"/>
          <w:b/>
          <w:bCs/>
          <w:sz w:val="20"/>
          <w:szCs w:val="20"/>
          <w:lang w:val="en-US" w:eastAsia="zh-CN"/>
        </w:rPr>
        <w:t>1:</w:t>
      </w:r>
      <w:r>
        <w:rPr>
          <w:rFonts w:hint="eastAsia" w:eastAsia="宋体"/>
          <w:b/>
          <w:bCs/>
          <w:sz w:val="20"/>
          <w:szCs w:val="20"/>
          <w:lang w:val="en-US" w:eastAsia="zh-CN"/>
        </w:rPr>
        <w:t xml:space="preserve"> Illustration of DTT spectrum and its surrounding/overlapping IMT band</w:t>
      </w:r>
    </w:p>
    <w:p>
      <w:pPr>
        <w:keepNext w:val="0"/>
        <w:keepLines w:val="0"/>
        <w:pageBreakBefore w:val="0"/>
        <w:widowControl w:val="0"/>
        <w:kinsoku/>
        <w:wordWrap/>
        <w:overflowPunct/>
        <w:topLinePunct w:val="0"/>
        <w:autoSpaceDE/>
        <w:autoSpaceDN/>
        <w:bidi w:val="0"/>
        <w:adjustRightInd/>
        <w:snapToGrid/>
        <w:spacing w:before="60" w:after="120"/>
        <w:textAlignment w:val="auto"/>
      </w:pPr>
      <w:r>
        <w:rPr>
          <w:rFonts w:hint="eastAsia"/>
          <w:sz w:val="20"/>
          <w:szCs w:val="20"/>
          <w:lang w:val="en-US" w:eastAsia="zh-CN"/>
        </w:rPr>
        <w:t xml:space="preserve">Because there are </w:t>
      </w:r>
      <w:r>
        <w:rPr>
          <w:rFonts w:hint="eastAsia"/>
          <w:color w:val="auto"/>
          <w:sz w:val="20"/>
          <w:szCs w:val="20"/>
          <w:lang w:val="en-US" w:eastAsia="zh-CN"/>
        </w:rPr>
        <w:t>some</w:t>
      </w:r>
      <w:r>
        <w:rPr>
          <w:rFonts w:hint="eastAsia"/>
          <w:sz w:val="20"/>
          <w:szCs w:val="20"/>
          <w:lang w:val="en-US" w:eastAsia="zh-CN"/>
        </w:rPr>
        <w:t xml:space="preserve"> concerns on implementation, we think the </w:t>
      </w:r>
      <w:r>
        <w:rPr>
          <w:rFonts w:hint="default"/>
          <w:sz w:val="20"/>
          <w:highlight w:val="none"/>
          <w:lang w:val="en-US" w:eastAsia="zh-CN"/>
        </w:rPr>
        <w:t>following</w:t>
      </w:r>
      <w:r>
        <w:rPr>
          <w:rFonts w:hint="eastAsia"/>
          <w:sz w:val="20"/>
          <w:highlight w:val="none"/>
          <w:lang w:val="en-US" w:eastAsia="zh-CN"/>
        </w:rPr>
        <w:t xml:space="preserve"> </w:t>
      </w:r>
      <w:r>
        <w:rPr>
          <w:rFonts w:hint="eastAsia"/>
          <w:sz w:val="20"/>
          <w:szCs w:val="20"/>
          <w:lang w:val="en-US" w:eastAsia="zh-CN"/>
        </w:rPr>
        <w:t>external Micro USB DVB-T tuner receiver could be a potential solution to receive broadcast signals which is also one commercial available solution for lots of Andorid and Apple smartphones.</w:t>
      </w:r>
    </w:p>
    <w:p>
      <w:pPr>
        <w:keepNext w:val="0"/>
        <w:keepLines w:val="0"/>
        <w:pageBreakBefore w:val="0"/>
        <w:widowControl w:val="0"/>
        <w:kinsoku/>
        <w:wordWrap/>
        <w:overflowPunct/>
        <w:topLinePunct w:val="0"/>
        <w:autoSpaceDE/>
        <w:autoSpaceDN/>
        <w:bidi w:val="0"/>
        <w:adjustRightInd/>
        <w:snapToGrid/>
        <w:spacing w:before="60" w:after="120"/>
        <w:jc w:val="center"/>
        <w:textAlignment w:val="auto"/>
      </w:pPr>
      <w:r>
        <w:drawing>
          <wp:inline distT="0" distB="0" distL="114300" distR="114300">
            <wp:extent cx="4572000"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572000" cy="2133600"/>
                    </a:xfrm>
                    <a:prstGeom prst="rect">
                      <a:avLst/>
                    </a:prstGeom>
                    <a:noFill/>
                    <a:ln>
                      <a:noFill/>
                    </a:ln>
                  </pic:spPr>
                </pic:pic>
              </a:graphicData>
            </a:graphic>
          </wp:inline>
        </w:drawing>
      </w:r>
    </w:p>
    <w:p>
      <w:pPr>
        <w:numPr>
          <w:ilvl w:val="0"/>
          <w:numId w:val="0"/>
        </w:numPr>
        <w:jc w:val="center"/>
        <w:rPr>
          <w:rFonts w:hint="default" w:eastAsia="宋体"/>
          <w:b/>
          <w:bCs/>
          <w:sz w:val="20"/>
          <w:szCs w:val="20"/>
          <w:lang w:val="en-US" w:eastAsia="zh-CN"/>
        </w:rPr>
      </w:pPr>
      <w:r>
        <w:rPr>
          <w:rFonts w:hint="default" w:eastAsia="宋体"/>
          <w:b/>
          <w:bCs/>
          <w:sz w:val="20"/>
          <w:szCs w:val="20"/>
          <w:lang w:val="en-US" w:eastAsia="zh-CN"/>
        </w:rPr>
        <w:t>Figure 2</w:t>
      </w:r>
      <w:r>
        <w:rPr>
          <w:rFonts w:hint="eastAsia" w:eastAsia="宋体"/>
          <w:b/>
          <w:bCs/>
          <w:sz w:val="20"/>
          <w:szCs w:val="20"/>
          <w:lang w:val="en-US" w:eastAsia="zh-CN"/>
        </w:rPr>
        <w:t>:</w:t>
      </w:r>
      <w:r>
        <w:rPr>
          <w:rFonts w:hint="default" w:eastAsia="宋体"/>
          <w:b/>
          <w:bCs/>
          <w:sz w:val="20"/>
          <w:szCs w:val="20"/>
          <w:lang w:val="en-US" w:eastAsia="zh-CN"/>
        </w:rPr>
        <w:t xml:space="preserve"> </w:t>
      </w:r>
      <w:r>
        <w:rPr>
          <w:rFonts w:hint="eastAsia" w:eastAsia="宋体"/>
          <w:b/>
          <w:bCs/>
          <w:sz w:val="20"/>
          <w:szCs w:val="20"/>
          <w:lang w:val="en-US" w:eastAsia="zh-CN"/>
        </w:rPr>
        <w:t>S</w:t>
      </w:r>
      <w:r>
        <w:rPr>
          <w:rFonts w:hint="default" w:eastAsia="宋体"/>
          <w:b/>
          <w:bCs/>
          <w:sz w:val="20"/>
          <w:szCs w:val="20"/>
          <w:lang w:val="en-US" w:eastAsia="zh-CN"/>
        </w:rPr>
        <w:t>martphone with external DVB-T tunner receiver</w:t>
      </w:r>
    </w:p>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b w:val="0"/>
          <w:bCs w:val="0"/>
          <w:sz w:val="20"/>
          <w:szCs w:val="20"/>
          <w:lang w:val="en-US" w:eastAsia="zh-CN"/>
        </w:rPr>
      </w:pPr>
      <w:r>
        <w:rPr>
          <w:rFonts w:hint="default" w:eastAsia="宋体"/>
          <w:b w:val="0"/>
          <w:bCs w:val="0"/>
          <w:sz w:val="20"/>
          <w:szCs w:val="20"/>
          <w:lang w:val="en-US" w:eastAsia="zh-CN"/>
        </w:rPr>
        <w:t xml:space="preserve">The description for commercial Single-Conversion DVB-H Tuner MAX2165 could be found as following. It should be noted that digital baseband channel filtering are still implemented which is different from our assumption by reusing 10MHz digital filtering.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before="60" w:after="120"/>
              <w:jc w:val="left"/>
              <w:textAlignment w:val="auto"/>
              <w:rPr>
                <w:rFonts w:hint="eastAsia" w:eastAsia="宋体"/>
                <w:vertAlign w:val="baseline"/>
                <w:lang w:val="en-US" w:eastAsia="zh-CN"/>
              </w:rPr>
            </w:pPr>
            <w:r>
              <w:rPr>
                <w:rFonts w:ascii="Times New Roman" w:hAnsi="Times New Roman" w:eastAsia="宋体" w:cs="Times New Roman"/>
                <w:i w:val="0"/>
                <w:caps w:val="0"/>
                <w:color w:val="auto"/>
                <w:spacing w:val="0"/>
                <w:sz w:val="21"/>
                <w:szCs w:val="21"/>
                <w:shd w:val="clear" w:fill="FFFFFF"/>
              </w:rPr>
              <w:t>The MAX2165 integrates a tuneable notch filter. This filter is designed to notch out interfering signals in the 830</w:t>
            </w:r>
            <w:r>
              <w:rPr>
                <w:rFonts w:hint="eastAsia" w:cs="Times New Roman"/>
                <w:i w:val="0"/>
                <w:caps w:val="0"/>
                <w:color w:val="auto"/>
                <w:spacing w:val="0"/>
                <w:sz w:val="21"/>
                <w:szCs w:val="21"/>
                <w:shd w:val="clear" w:fill="FFFFFF"/>
                <w:lang w:val="en-US" w:eastAsia="zh-CN"/>
              </w:rPr>
              <w:t xml:space="preserve"> </w:t>
            </w:r>
            <w:r>
              <w:rPr>
                <w:rFonts w:ascii="Times New Roman" w:hAnsi="Times New Roman" w:eastAsia="宋体" w:cs="Times New Roman"/>
                <w:i w:val="0"/>
                <w:caps w:val="0"/>
                <w:color w:val="auto"/>
                <w:spacing w:val="0"/>
                <w:sz w:val="21"/>
                <w:szCs w:val="21"/>
                <w:shd w:val="clear" w:fill="FFFFFF"/>
              </w:rPr>
              <w:t>MHz to 950</w:t>
            </w:r>
            <w:r>
              <w:rPr>
                <w:rFonts w:hint="eastAsia" w:cs="Times New Roman"/>
                <w:i w:val="0"/>
                <w:caps w:val="0"/>
                <w:color w:val="auto"/>
                <w:spacing w:val="0"/>
                <w:sz w:val="21"/>
                <w:szCs w:val="21"/>
                <w:shd w:val="clear" w:fill="FFFFFF"/>
                <w:lang w:val="en-US" w:eastAsia="zh-CN"/>
              </w:rPr>
              <w:t xml:space="preserve"> </w:t>
            </w:r>
            <w:r>
              <w:rPr>
                <w:rFonts w:ascii="Times New Roman" w:hAnsi="Times New Roman" w:eastAsia="宋体" w:cs="Times New Roman"/>
                <w:i w:val="0"/>
                <w:caps w:val="0"/>
                <w:color w:val="auto"/>
                <w:spacing w:val="0"/>
                <w:sz w:val="21"/>
                <w:szCs w:val="21"/>
                <w:shd w:val="clear" w:fill="FFFFFF"/>
              </w:rPr>
              <w:t xml:space="preserve">MHz frequency range to allow for operation in the presence of large cellular signals. </w:t>
            </w:r>
            <w:r>
              <w:rPr>
                <w:rFonts w:ascii="Times New Roman" w:hAnsi="Times New Roman" w:eastAsia="宋体" w:cs="Times New Roman"/>
                <w:i w:val="0"/>
                <w:caps w:val="0"/>
                <w:color w:val="auto"/>
                <w:spacing w:val="0"/>
                <w:sz w:val="21"/>
                <w:szCs w:val="21"/>
                <w:highlight w:val="green"/>
                <w:shd w:val="clear" w:fill="FFFFFF"/>
              </w:rPr>
              <w:t>Programmable baseband channel-selection filters allow for operation with 7</w:t>
            </w:r>
            <w:r>
              <w:rPr>
                <w:rFonts w:hint="eastAsia" w:cs="Times New Roman"/>
                <w:i w:val="0"/>
                <w:caps w:val="0"/>
                <w:color w:val="auto"/>
                <w:spacing w:val="0"/>
                <w:sz w:val="21"/>
                <w:szCs w:val="21"/>
                <w:highlight w:val="green"/>
                <w:shd w:val="clear" w:fill="FFFFFF"/>
                <w:lang w:val="en-US" w:eastAsia="zh-CN"/>
              </w:rPr>
              <w:t xml:space="preserve"> </w:t>
            </w:r>
            <w:r>
              <w:rPr>
                <w:rFonts w:ascii="Times New Roman" w:hAnsi="Times New Roman" w:eastAsia="宋体" w:cs="Times New Roman"/>
                <w:i w:val="0"/>
                <w:caps w:val="0"/>
                <w:color w:val="auto"/>
                <w:spacing w:val="0"/>
                <w:sz w:val="21"/>
                <w:szCs w:val="21"/>
                <w:highlight w:val="green"/>
                <w:shd w:val="clear" w:fill="FFFFFF"/>
              </w:rPr>
              <w:t>MHz and 8</w:t>
            </w:r>
            <w:r>
              <w:rPr>
                <w:rFonts w:hint="eastAsia" w:cs="Times New Roman"/>
                <w:i w:val="0"/>
                <w:caps w:val="0"/>
                <w:color w:val="auto"/>
                <w:spacing w:val="0"/>
                <w:sz w:val="21"/>
                <w:szCs w:val="21"/>
                <w:highlight w:val="green"/>
                <w:shd w:val="clear" w:fill="FFFFFF"/>
                <w:lang w:val="en-US" w:eastAsia="zh-CN"/>
              </w:rPr>
              <w:t xml:space="preserve"> </w:t>
            </w:r>
            <w:r>
              <w:rPr>
                <w:rFonts w:ascii="Times New Roman" w:hAnsi="Times New Roman" w:eastAsia="宋体" w:cs="Times New Roman"/>
                <w:i w:val="0"/>
                <w:caps w:val="0"/>
                <w:color w:val="auto"/>
                <w:spacing w:val="0"/>
                <w:sz w:val="21"/>
                <w:szCs w:val="21"/>
                <w:highlight w:val="green"/>
                <w:shd w:val="clear" w:fill="FFFFFF"/>
              </w:rPr>
              <w:t xml:space="preserve">MHz channels. </w:t>
            </w:r>
            <w:r>
              <w:rPr>
                <w:rFonts w:ascii="Times New Roman" w:hAnsi="Times New Roman" w:eastAsia="宋体" w:cs="Times New Roman"/>
                <w:i w:val="0"/>
                <w:caps w:val="0"/>
                <w:color w:val="auto"/>
                <w:spacing w:val="0"/>
                <w:sz w:val="21"/>
                <w:szCs w:val="21"/>
                <w:shd w:val="clear" w:fill="FFFFFF"/>
              </w:rPr>
              <w:t>Digital DC offset correction circuitry supports time-sliced operation by minimizing power-up time delay. The fractional-N synthesizer reduces VCO lock time and minimizes close-in phase noise, eliminating the need for power-hungry, phase-noise reduction algorithms.</w:t>
            </w:r>
            <w:r>
              <w:rPr>
                <w:rFonts w:hint="default" w:ascii="Times New Roman" w:hAnsi="Times New Roman" w:eastAsia="宋体" w:cs="Times New Roman"/>
                <w:i w:val="0"/>
                <w:caps w:val="0"/>
                <w:color w:val="auto"/>
                <w:spacing w:val="0"/>
                <w:sz w:val="21"/>
                <w:szCs w:val="21"/>
                <w:shd w:val="clear" w:fill="FFFFFF"/>
              </w:rPr>
              <w:br w:type="textWrapping"/>
            </w:r>
            <w:r>
              <w:rPr>
                <w:rFonts w:hint="default" w:ascii="Times New Roman" w:hAnsi="Times New Roman" w:eastAsia="宋体" w:cs="Times New Roman"/>
                <w:i w:val="0"/>
                <w:caps w:val="0"/>
                <w:color w:val="auto"/>
                <w:spacing w:val="0"/>
                <w:sz w:val="21"/>
                <w:szCs w:val="21"/>
                <w:shd w:val="clear" w:fill="FFFFFF"/>
              </w:rPr>
              <w:br w:type="textWrapping"/>
            </w:r>
            <w:r>
              <w:rPr>
                <w:rFonts w:hint="default" w:ascii="Times New Roman" w:hAnsi="Times New Roman" w:eastAsia="宋体" w:cs="Times New Roman"/>
                <w:i w:val="0"/>
                <w:caps w:val="0"/>
                <w:color w:val="auto"/>
                <w:spacing w:val="0"/>
                <w:sz w:val="21"/>
                <w:szCs w:val="21"/>
                <w:shd w:val="clear" w:fill="FFFFFF"/>
              </w:rPr>
              <w:t>The MAX2165 is available in a tiny, 5mm x 5mm x 0.8mm, 28-pin thin QFN package with an exposed paddle. It is specified for operation over the -40°C to +85°C extended temperature range</w:t>
            </w:r>
            <w:r>
              <w:rPr>
                <w:rFonts w:hint="eastAsia" w:cs="Times New Roman"/>
                <w:i w:val="0"/>
                <w:caps w:val="0"/>
                <w:color w:val="auto"/>
                <w:spacing w:val="0"/>
                <w:sz w:val="21"/>
                <w:szCs w:val="21"/>
                <w:shd w:val="clear" w:fill="FFFFFF"/>
                <w:lang w:val="en-US" w:eastAsia="zh-CN"/>
              </w:rPr>
              <w:t>.</w:t>
            </w:r>
          </w:p>
        </w:tc>
      </w:tr>
    </w:tbl>
    <w:p>
      <w:pPr>
        <w:keepNext w:val="0"/>
        <w:keepLines w:val="0"/>
        <w:pageBreakBefore w:val="0"/>
        <w:widowControl w:val="0"/>
        <w:kinsoku/>
        <w:wordWrap/>
        <w:overflowPunct/>
        <w:topLinePunct w:val="0"/>
        <w:autoSpaceDE/>
        <w:autoSpaceDN/>
        <w:bidi w:val="0"/>
        <w:adjustRightInd/>
        <w:snapToGrid/>
        <w:spacing w:before="60" w:after="120"/>
        <w:jc w:val="both"/>
        <w:textAlignment w:val="auto"/>
        <w:rPr>
          <w:rFonts w:eastAsia="宋体"/>
          <w:b/>
          <w:bCs w:val="0"/>
          <w:i/>
          <w:iCs/>
          <w:sz w:val="21"/>
          <w:szCs w:val="21"/>
          <w:lang w:val="en-GB" w:eastAsia="zh-CN"/>
        </w:rPr>
      </w:pPr>
      <w:r>
        <w:rPr>
          <w:rFonts w:hint="eastAsia" w:ascii="Times New Roman" w:hAnsi="Times New Roman" w:eastAsia="Times New Roman" w:cs="Times New Roman"/>
          <w:b/>
          <w:bCs/>
          <w:i/>
          <w:iCs/>
          <w:kern w:val="0"/>
          <w:sz w:val="20"/>
          <w:szCs w:val="20"/>
          <w:lang w:val="en-US" w:eastAsia="zh-CN"/>
        </w:rPr>
        <w:t>Observation 1:</w:t>
      </w:r>
      <w:r>
        <w:rPr>
          <w:rFonts w:hint="eastAsia" w:eastAsia="Times New Roman" w:cs="Times New Roman"/>
          <w:b/>
          <w:bCs/>
          <w:i/>
          <w:iCs/>
          <w:kern w:val="0"/>
          <w:sz w:val="20"/>
          <w:szCs w:val="20"/>
          <w:lang w:val="en-US" w:eastAsia="zh-CN"/>
        </w:rPr>
        <w:t xml:space="preserve"> </w:t>
      </w:r>
      <w:r>
        <w:rPr>
          <w:rFonts w:hint="default" w:eastAsia="宋体"/>
          <w:b w:val="0"/>
          <w:bCs w:val="0"/>
          <w:i/>
          <w:iCs/>
          <w:sz w:val="20"/>
          <w:szCs w:val="20"/>
          <w:lang w:val="en-US" w:eastAsia="zh-CN"/>
        </w:rPr>
        <w:t>Single-Conversion DVB-H Tuner MAX2165</w:t>
      </w:r>
      <w:r>
        <w:rPr>
          <w:rFonts w:hint="eastAsia" w:eastAsia="宋体"/>
          <w:b w:val="0"/>
          <w:bCs w:val="0"/>
          <w:i/>
          <w:iCs/>
          <w:sz w:val="20"/>
          <w:szCs w:val="20"/>
          <w:lang w:val="en-US" w:eastAsia="zh-CN"/>
        </w:rPr>
        <w:t xml:space="preserve"> </w:t>
      </w:r>
      <w:r>
        <w:rPr>
          <w:rFonts w:hint="eastAsia"/>
          <w:i/>
          <w:iCs/>
          <w:sz w:val="20"/>
          <w:szCs w:val="20"/>
          <w:lang w:val="en-US" w:eastAsia="zh-CN"/>
        </w:rPr>
        <w:t>could be an potential solution to receive broadcast signals.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9"/>
        <w:tabs>
          <w:tab w:val="left" w:pos="226"/>
          <w:tab w:val="left" w:pos="284"/>
          <w:tab w:val="left" w:pos="5103"/>
        </w:tabs>
        <w:snapToGrid w:val="0"/>
        <w:jc w:val="both"/>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some views on band definition for LTE based broadcast </w:t>
      </w:r>
      <w:r>
        <w:rPr>
          <w:rFonts w:hint="eastAsia" w:eastAsia="宋体"/>
          <w:i w:val="0"/>
          <w:iCs w:val="0"/>
          <w:sz w:val="20"/>
          <w:szCs w:val="20"/>
          <w:lang w:val="en-US" w:eastAsia="zh-CN"/>
        </w:rPr>
        <w:t>and the proposals are made as following</w:t>
      </w:r>
      <w:r>
        <w:rPr>
          <w:rFonts w:eastAsia="宋体"/>
          <w:bCs/>
          <w:i w:val="0"/>
          <w:iCs w:val="0"/>
          <w:color w:val="auto"/>
          <w:sz w:val="20"/>
          <w:szCs w:val="20"/>
          <w:lang w:val="en-GB" w:eastAsia="zh-CN"/>
        </w:rPr>
        <w:t>:</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default"/>
          <w:i/>
          <w:iCs/>
          <w:sz w:val="20"/>
          <w:szCs w:val="20"/>
          <w:lang w:val="en-US" w:eastAsia="zh-CN"/>
        </w:rPr>
      </w:pPr>
      <w:r>
        <w:rPr>
          <w:rFonts w:hint="eastAsia"/>
          <w:b/>
          <w:bCs/>
          <w:i/>
          <w:iCs/>
          <w:sz w:val="20"/>
          <w:szCs w:val="20"/>
          <w:lang w:val="en-US" w:eastAsia="zh-CN"/>
        </w:rPr>
        <w:t>Proposal 1:</w:t>
      </w:r>
      <w:r>
        <w:rPr>
          <w:rFonts w:hint="eastAsia"/>
          <w:i/>
          <w:iCs/>
          <w:sz w:val="20"/>
          <w:szCs w:val="20"/>
          <w:lang w:val="en-US" w:eastAsia="zh-CN"/>
        </w:rPr>
        <w:t xml:space="preserve"> It is necessary to define a single wide band covering the entire UHF frequency range 470 – [698/702] MHz for LTE based 5G broadcast.</w:t>
      </w:r>
    </w:p>
    <w:p>
      <w:pPr>
        <w:keepNext w:val="0"/>
        <w:keepLines w:val="0"/>
        <w:pageBreakBefore w:val="0"/>
        <w:widowControl w:val="0"/>
        <w:kinsoku/>
        <w:wordWrap/>
        <w:overflowPunct/>
        <w:topLinePunct w:val="0"/>
        <w:autoSpaceDE/>
        <w:autoSpaceDN/>
        <w:bidi w:val="0"/>
        <w:adjustRightInd/>
        <w:snapToGrid/>
        <w:spacing w:before="60" w:after="120"/>
        <w:jc w:val="both"/>
        <w:textAlignment w:val="auto"/>
        <w:rPr>
          <w:rFonts w:eastAsia="宋体"/>
          <w:b/>
          <w:bCs w:val="0"/>
          <w:i/>
          <w:iCs/>
          <w:sz w:val="21"/>
          <w:szCs w:val="21"/>
          <w:lang w:val="en-GB" w:eastAsia="zh-CN"/>
        </w:rPr>
      </w:pPr>
      <w:r>
        <w:rPr>
          <w:rFonts w:hint="eastAsia" w:ascii="Times New Roman" w:hAnsi="Times New Roman" w:eastAsia="Times New Roman" w:cs="Times New Roman"/>
          <w:b/>
          <w:bCs/>
          <w:i/>
          <w:iCs/>
          <w:kern w:val="0"/>
          <w:sz w:val="20"/>
          <w:szCs w:val="20"/>
          <w:lang w:val="en-US" w:eastAsia="zh-CN"/>
        </w:rPr>
        <w:t>Observation 1:</w:t>
      </w:r>
      <w:r>
        <w:rPr>
          <w:rFonts w:hint="eastAsia" w:eastAsia="Times New Roman" w:cs="Times New Roman"/>
          <w:b/>
          <w:bCs/>
          <w:i/>
          <w:iCs/>
          <w:kern w:val="0"/>
          <w:sz w:val="20"/>
          <w:szCs w:val="20"/>
          <w:lang w:val="en-US" w:eastAsia="zh-CN"/>
        </w:rPr>
        <w:t xml:space="preserve"> </w:t>
      </w:r>
      <w:r>
        <w:rPr>
          <w:rFonts w:hint="default" w:eastAsia="宋体"/>
          <w:b w:val="0"/>
          <w:bCs w:val="0"/>
          <w:i/>
          <w:iCs/>
          <w:sz w:val="20"/>
          <w:szCs w:val="20"/>
          <w:lang w:val="en-US" w:eastAsia="zh-CN"/>
        </w:rPr>
        <w:t>Single-Conversion DVB-H Tuner MAX2165</w:t>
      </w:r>
      <w:r>
        <w:rPr>
          <w:rFonts w:hint="eastAsia" w:eastAsia="宋体"/>
          <w:b w:val="0"/>
          <w:bCs w:val="0"/>
          <w:i/>
          <w:iCs/>
          <w:sz w:val="20"/>
          <w:szCs w:val="20"/>
          <w:lang w:val="en-US" w:eastAsia="zh-CN"/>
        </w:rPr>
        <w:t xml:space="preserve"> </w:t>
      </w:r>
      <w:r>
        <w:rPr>
          <w:rFonts w:hint="eastAsia"/>
          <w:i/>
          <w:iCs/>
          <w:sz w:val="20"/>
          <w:szCs w:val="20"/>
          <w:lang w:val="en-US" w:eastAsia="zh-CN"/>
        </w:rPr>
        <w:t>could be an potential solution to receive broadcast signals.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10"/>
        <w:rPr>
          <w:rFonts w:hint="default"/>
          <w:sz w:val="20"/>
          <w:szCs w:val="20"/>
          <w:lang w:val="en-US"/>
        </w:rPr>
      </w:pPr>
      <w:r>
        <w:rPr>
          <w:rFonts w:hint="eastAsia" w:ascii="Times New Roman" w:hAnsi="Times New Roman" w:eastAsia="宋体" w:cs="Times New Roman"/>
          <w:bCs w:val="0"/>
          <w:kern w:val="2"/>
          <w:sz w:val="20"/>
          <w:szCs w:val="20"/>
          <w:lang w:val="en-US" w:eastAsia="zh-CN" w:bidi="ar-SA"/>
        </w:rPr>
        <w:t xml:space="preserve">RP-220518, </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eastAsia="宋体" w:cs="Times New Roman"/>
          <w:bCs w:val="0"/>
          <w:kern w:val="2"/>
          <w:sz w:val="20"/>
          <w:szCs w:val="20"/>
          <w:lang w:val="en-US" w:eastAsia="zh-CN" w:bidi="ar-SA"/>
        </w:rPr>
        <w:t>Revised WID: New bands and bandwidth allocation for LTE based 5G terrestrial broadcast - part 2</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eastAsia="宋体" w:cs="Times New Roman"/>
          <w:bCs w:val="0"/>
          <w:kern w:val="2"/>
          <w:sz w:val="20"/>
          <w:szCs w:val="20"/>
          <w:lang w:val="en-US" w:eastAsia="zh-CN" w:bidi="ar-SA"/>
        </w:rPr>
        <w:t>, EBU, Qualcomm</w:t>
      </w:r>
    </w:p>
    <w:p>
      <w:pPr>
        <w:pStyle w:val="10"/>
        <w:rPr>
          <w:color w:val="auto"/>
          <w:sz w:val="20"/>
          <w:szCs w:val="20"/>
        </w:rPr>
      </w:pPr>
      <w:r>
        <w:rPr>
          <w:rFonts w:hint="eastAsia"/>
          <w:color w:val="auto"/>
          <w:sz w:val="20"/>
          <w:szCs w:val="20"/>
          <w:lang w:val="en-US" w:eastAsia="zh-CN"/>
        </w:rPr>
        <w:t xml:space="preserve">R4-2220501, </w:t>
      </w:r>
      <w:r>
        <w:rPr>
          <w:rFonts w:hint="default" w:ascii="Times New Roman" w:hAnsi="Times New Roman" w:eastAsia="宋体" w:cs="Times New Roman"/>
          <w:bCs w:val="0"/>
          <w:kern w:val="2"/>
          <w:sz w:val="20"/>
          <w:szCs w:val="20"/>
          <w:lang w:val="en-US" w:eastAsia="zh-CN" w:bidi="ar-SA"/>
        </w:rPr>
        <w:t>“</w:t>
      </w:r>
      <w:r>
        <w:rPr>
          <w:rFonts w:hint="eastAsia"/>
          <w:color w:val="auto"/>
          <w:sz w:val="20"/>
          <w:szCs w:val="20"/>
          <w:lang w:val="en-US" w:eastAsia="zh-CN"/>
        </w:rPr>
        <w:t>WF on UE RF for 5G Broadcast</w:t>
      </w:r>
      <w:r>
        <w:rPr>
          <w:rFonts w:hint="default" w:ascii="Times New Roman" w:hAnsi="Times New Roman" w:eastAsia="宋体" w:cs="Times New Roman"/>
          <w:bCs w:val="0"/>
          <w:kern w:val="2"/>
          <w:sz w:val="20"/>
          <w:szCs w:val="20"/>
          <w:lang w:val="en-US" w:eastAsia="zh-CN" w:bidi="ar-SA"/>
        </w:rPr>
        <w:t>”</w:t>
      </w:r>
      <w:r>
        <w:rPr>
          <w:rFonts w:hint="eastAsia"/>
          <w:color w:val="auto"/>
          <w:sz w:val="20"/>
          <w:szCs w:val="20"/>
          <w:lang w:val="en-US" w:eastAsia="zh-CN"/>
        </w:rPr>
        <w:t>, Qualcomm</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7240B2"/>
    <w:multiLevelType w:val="multilevel"/>
    <w:tmpl w:val="087240B2"/>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4027E32"/>
    <w:multiLevelType w:val="multilevel"/>
    <w:tmpl w:val="64027E32"/>
    <w:lvl w:ilvl="0" w:tentative="0">
      <w:start w:val="1"/>
      <w:numFmt w:val="lowerLetter"/>
      <w:lvlText w:val="%1."/>
      <w:lvlJc w:val="left"/>
      <w:pPr>
        <w:ind w:left="1212" w:hanging="360"/>
      </w:pPr>
      <w:rPr>
        <w:rFonts w:hint="default"/>
      </w:rPr>
    </w:lvl>
    <w:lvl w:ilvl="1" w:tentative="0">
      <w:start w:val="1"/>
      <w:numFmt w:val="lowerLetter"/>
      <w:lvlText w:val="%2."/>
      <w:lvlJc w:val="left"/>
      <w:pPr>
        <w:ind w:left="1932" w:hanging="360"/>
      </w:pPr>
    </w:lvl>
    <w:lvl w:ilvl="2" w:tentative="0">
      <w:start w:val="1"/>
      <w:numFmt w:val="lowerRoman"/>
      <w:lvlText w:val="%3."/>
      <w:lvlJc w:val="right"/>
      <w:pPr>
        <w:ind w:left="2652" w:hanging="180"/>
      </w:pPr>
    </w:lvl>
    <w:lvl w:ilvl="3" w:tentative="0">
      <w:start w:val="1"/>
      <w:numFmt w:val="decimal"/>
      <w:lvlText w:val="%4."/>
      <w:lvlJc w:val="left"/>
      <w:pPr>
        <w:ind w:left="3372" w:hanging="360"/>
      </w:pPr>
    </w:lvl>
    <w:lvl w:ilvl="4" w:tentative="0">
      <w:start w:val="1"/>
      <w:numFmt w:val="lowerLetter"/>
      <w:lvlText w:val="%5."/>
      <w:lvlJc w:val="left"/>
      <w:pPr>
        <w:ind w:left="4092" w:hanging="360"/>
      </w:pPr>
    </w:lvl>
    <w:lvl w:ilvl="5" w:tentative="0">
      <w:start w:val="1"/>
      <w:numFmt w:val="lowerRoman"/>
      <w:lvlText w:val="%6."/>
      <w:lvlJc w:val="right"/>
      <w:pPr>
        <w:ind w:left="4812" w:hanging="180"/>
      </w:pPr>
    </w:lvl>
    <w:lvl w:ilvl="6" w:tentative="0">
      <w:start w:val="1"/>
      <w:numFmt w:val="decimal"/>
      <w:lvlText w:val="%7."/>
      <w:lvlJc w:val="left"/>
      <w:pPr>
        <w:ind w:left="5532" w:hanging="360"/>
      </w:pPr>
    </w:lvl>
    <w:lvl w:ilvl="7" w:tentative="0">
      <w:start w:val="1"/>
      <w:numFmt w:val="lowerLetter"/>
      <w:lvlText w:val="%8."/>
      <w:lvlJc w:val="left"/>
      <w:pPr>
        <w:ind w:left="6252" w:hanging="360"/>
      </w:pPr>
    </w:lvl>
    <w:lvl w:ilvl="8" w:tentative="0">
      <w:start w:val="1"/>
      <w:numFmt w:val="lowerRoman"/>
      <w:lvlText w:val="%9."/>
      <w:lvlJc w:val="right"/>
      <w:pPr>
        <w:ind w:left="6972" w:hanging="180"/>
      </w:p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D58692E"/>
    <w:multiLevelType w:val="multilevel"/>
    <w:tmpl w:val="7D58692E"/>
    <w:lvl w:ilvl="0" w:tentative="0">
      <w:start w:val="1"/>
      <w:numFmt w:val="lowerLetter"/>
      <w:lvlText w:val="%1."/>
      <w:lvlJc w:val="left"/>
      <w:pPr>
        <w:ind w:left="1212" w:hanging="360"/>
      </w:pPr>
      <w:rPr>
        <w:rFonts w:hint="default"/>
      </w:rPr>
    </w:lvl>
    <w:lvl w:ilvl="1" w:tentative="0">
      <w:start w:val="1"/>
      <w:numFmt w:val="lowerLetter"/>
      <w:lvlText w:val="%2."/>
      <w:lvlJc w:val="left"/>
      <w:pPr>
        <w:ind w:left="1932" w:hanging="360"/>
      </w:pPr>
    </w:lvl>
    <w:lvl w:ilvl="2" w:tentative="0">
      <w:start w:val="1"/>
      <w:numFmt w:val="lowerRoman"/>
      <w:lvlText w:val="%3."/>
      <w:lvlJc w:val="right"/>
      <w:pPr>
        <w:ind w:left="2652" w:hanging="180"/>
      </w:pPr>
    </w:lvl>
    <w:lvl w:ilvl="3" w:tentative="0">
      <w:start w:val="1"/>
      <w:numFmt w:val="decimal"/>
      <w:lvlText w:val="%4."/>
      <w:lvlJc w:val="left"/>
      <w:pPr>
        <w:ind w:left="3372" w:hanging="360"/>
      </w:pPr>
    </w:lvl>
    <w:lvl w:ilvl="4" w:tentative="0">
      <w:start w:val="1"/>
      <w:numFmt w:val="lowerLetter"/>
      <w:lvlText w:val="%5."/>
      <w:lvlJc w:val="left"/>
      <w:pPr>
        <w:ind w:left="4092" w:hanging="360"/>
      </w:pPr>
    </w:lvl>
    <w:lvl w:ilvl="5" w:tentative="0">
      <w:start w:val="1"/>
      <w:numFmt w:val="lowerRoman"/>
      <w:lvlText w:val="%6."/>
      <w:lvlJc w:val="right"/>
      <w:pPr>
        <w:ind w:left="4812" w:hanging="180"/>
      </w:pPr>
    </w:lvl>
    <w:lvl w:ilvl="6" w:tentative="0">
      <w:start w:val="1"/>
      <w:numFmt w:val="decimal"/>
      <w:lvlText w:val="%7."/>
      <w:lvlJc w:val="left"/>
      <w:pPr>
        <w:ind w:left="5532" w:hanging="360"/>
      </w:pPr>
    </w:lvl>
    <w:lvl w:ilvl="7" w:tentative="0">
      <w:start w:val="1"/>
      <w:numFmt w:val="lowerLetter"/>
      <w:lvlText w:val="%8."/>
      <w:lvlJc w:val="left"/>
      <w:pPr>
        <w:ind w:left="6252" w:hanging="360"/>
      </w:pPr>
    </w:lvl>
    <w:lvl w:ilvl="8" w:tentative="0">
      <w:start w:val="1"/>
      <w:numFmt w:val="lowerRoman"/>
      <w:lvlText w:val="%9."/>
      <w:lvlJc w:val="right"/>
      <w:pPr>
        <w:ind w:left="6972" w:hanging="18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07B"/>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A03B02"/>
    <w:rsid w:val="04605003"/>
    <w:rsid w:val="057A6005"/>
    <w:rsid w:val="07107E0D"/>
    <w:rsid w:val="076F0B09"/>
    <w:rsid w:val="0A1B4004"/>
    <w:rsid w:val="0C0308E5"/>
    <w:rsid w:val="0C283358"/>
    <w:rsid w:val="0C2C7E90"/>
    <w:rsid w:val="0D463036"/>
    <w:rsid w:val="0E0C4F5A"/>
    <w:rsid w:val="0E180AF5"/>
    <w:rsid w:val="0F3B607E"/>
    <w:rsid w:val="10BC116B"/>
    <w:rsid w:val="10EF26E1"/>
    <w:rsid w:val="1205600D"/>
    <w:rsid w:val="13E9610F"/>
    <w:rsid w:val="14C43F5F"/>
    <w:rsid w:val="154D51F7"/>
    <w:rsid w:val="17FF60FB"/>
    <w:rsid w:val="19AA0F80"/>
    <w:rsid w:val="1AF30C8C"/>
    <w:rsid w:val="1B0F61D1"/>
    <w:rsid w:val="1CA53BD5"/>
    <w:rsid w:val="1D2213F9"/>
    <w:rsid w:val="1E22362E"/>
    <w:rsid w:val="1E7149EF"/>
    <w:rsid w:val="21863EAB"/>
    <w:rsid w:val="224B108F"/>
    <w:rsid w:val="22620BCB"/>
    <w:rsid w:val="27340F09"/>
    <w:rsid w:val="28001F59"/>
    <w:rsid w:val="29E2737D"/>
    <w:rsid w:val="2A6146B0"/>
    <w:rsid w:val="2A9C1AAB"/>
    <w:rsid w:val="2B2F40A6"/>
    <w:rsid w:val="2C005E63"/>
    <w:rsid w:val="2CDA190F"/>
    <w:rsid w:val="2E7837D9"/>
    <w:rsid w:val="32006367"/>
    <w:rsid w:val="326B105A"/>
    <w:rsid w:val="3365752F"/>
    <w:rsid w:val="38657695"/>
    <w:rsid w:val="38CA2A50"/>
    <w:rsid w:val="3C170C74"/>
    <w:rsid w:val="3CF72732"/>
    <w:rsid w:val="3D782782"/>
    <w:rsid w:val="3F764E49"/>
    <w:rsid w:val="426C4112"/>
    <w:rsid w:val="43B9112B"/>
    <w:rsid w:val="472C3B48"/>
    <w:rsid w:val="47B33E2E"/>
    <w:rsid w:val="490A1E9D"/>
    <w:rsid w:val="4D016E74"/>
    <w:rsid w:val="4D3A746F"/>
    <w:rsid w:val="4D7C5DF7"/>
    <w:rsid w:val="4DDB7B3F"/>
    <w:rsid w:val="4EC16787"/>
    <w:rsid w:val="4EFC3D4D"/>
    <w:rsid w:val="4F9904BD"/>
    <w:rsid w:val="5164628A"/>
    <w:rsid w:val="567F3F3A"/>
    <w:rsid w:val="58A17D66"/>
    <w:rsid w:val="5AAD3C58"/>
    <w:rsid w:val="5BC201E5"/>
    <w:rsid w:val="5DB54D40"/>
    <w:rsid w:val="5E110B50"/>
    <w:rsid w:val="60160A07"/>
    <w:rsid w:val="60840213"/>
    <w:rsid w:val="61832EA9"/>
    <w:rsid w:val="62E50BAB"/>
    <w:rsid w:val="64720EAD"/>
    <w:rsid w:val="659702D3"/>
    <w:rsid w:val="65B672D2"/>
    <w:rsid w:val="66387DB8"/>
    <w:rsid w:val="6685187D"/>
    <w:rsid w:val="67355638"/>
    <w:rsid w:val="68CE63C4"/>
    <w:rsid w:val="68DE532F"/>
    <w:rsid w:val="6A5E238E"/>
    <w:rsid w:val="6B325EF8"/>
    <w:rsid w:val="6CB036DF"/>
    <w:rsid w:val="6CD67DFE"/>
    <w:rsid w:val="6D1A6ED1"/>
    <w:rsid w:val="6DBF3339"/>
    <w:rsid w:val="70276E0E"/>
    <w:rsid w:val="719F6016"/>
    <w:rsid w:val="71CF3E9A"/>
    <w:rsid w:val="73DA07E7"/>
    <w:rsid w:val="77DF2F01"/>
    <w:rsid w:val="7A8D30E0"/>
    <w:rsid w:val="7C105BF8"/>
    <w:rsid w:val="7CC321AA"/>
    <w:rsid w:val="7F592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5"/>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18</TotalTime>
  <ScaleCrop>false</ScaleCrop>
  <LinksUpToDate>false</LinksUpToDate>
  <CharactersWithSpaces>5838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 Lu</cp:lastModifiedBy>
  <cp:lastPrinted>2015-02-02T11:17:00Z</cp:lastPrinted>
  <dcterms:modified xsi:type="dcterms:W3CDTF">2023-02-17T08:47:39Z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